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7F6D0F">
        <w:rPr>
          <w:sz w:val="28"/>
          <w:szCs w:val="28"/>
          <w:lang w:val="kk-KZ"/>
        </w:rPr>
        <w:t>10</w:t>
      </w:r>
      <w:r w:rsidR="00E85498" w:rsidRPr="003454DF">
        <w:rPr>
          <w:sz w:val="28"/>
          <w:szCs w:val="28"/>
        </w:rPr>
        <w:t xml:space="preserve">» </w:t>
      </w:r>
      <w:r w:rsidR="007F6D0F">
        <w:rPr>
          <w:sz w:val="28"/>
          <w:szCs w:val="28"/>
        </w:rPr>
        <w:t xml:space="preserve"> сентября</w:t>
      </w:r>
      <w:r w:rsidR="00790B29" w:rsidRPr="003454DF">
        <w:rPr>
          <w:sz w:val="28"/>
          <w:szCs w:val="28"/>
        </w:rPr>
        <w:t xml:space="preserve">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r w:rsidR="008241CE">
        <w:rPr>
          <w:sz w:val="28"/>
          <w:szCs w:val="28"/>
          <w:lang w:val="kk-KZ"/>
        </w:rPr>
        <w:t>326</w:t>
      </w:r>
      <w:r w:rsidR="00B2330D">
        <w:rPr>
          <w:sz w:val="28"/>
          <w:szCs w:val="28"/>
          <w:lang w:val="kk-KZ"/>
        </w:rPr>
        <w:t>-ОД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A0410C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для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="007B273C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 xml:space="preserve">(далее – Товары) – полный перечень </w:t>
      </w:r>
      <w:proofErr w:type="gramStart"/>
      <w:r w:rsidRPr="00C0094B">
        <w:rPr>
          <w:sz w:val="28"/>
          <w:szCs w:val="28"/>
        </w:rPr>
        <w:t>закупаемых</w:t>
      </w:r>
      <w:proofErr w:type="gramEnd"/>
      <w:r w:rsidRPr="00C0094B">
        <w:rPr>
          <w:sz w:val="28"/>
          <w:szCs w:val="28"/>
        </w:rPr>
        <w:t xml:space="preserve"> </w:t>
      </w:r>
      <w:r w:rsidR="00BA56D9">
        <w:rPr>
          <w:sz w:val="28"/>
          <w:szCs w:val="28"/>
        </w:rPr>
        <w:t xml:space="preserve">комплектующих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 xml:space="preserve">составляет </w:t>
      </w:r>
      <w:r w:rsidR="007F6D0F">
        <w:rPr>
          <w:b/>
          <w:i/>
          <w:sz w:val="28"/>
          <w:szCs w:val="28"/>
        </w:rPr>
        <w:t xml:space="preserve">3 863 700 </w:t>
      </w:r>
      <w:r w:rsidRPr="00BA56D9">
        <w:rPr>
          <w:b/>
          <w:i/>
          <w:sz w:val="28"/>
          <w:szCs w:val="28"/>
        </w:rPr>
        <w:t xml:space="preserve"> (</w:t>
      </w:r>
      <w:r w:rsidR="007F6D0F" w:rsidRPr="007F6D0F">
        <w:rPr>
          <w:b/>
          <w:i/>
          <w:sz w:val="28"/>
          <w:szCs w:val="28"/>
        </w:rPr>
        <w:t>Три миллиона восемьсот шестьдесят три тысячи семьсот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887F4D" w:rsidRPr="00C0094B" w:rsidRDefault="00887F4D" w:rsidP="00F90994">
      <w:pPr>
        <w:rPr>
          <w:b/>
          <w:color w:val="000000"/>
          <w:sz w:val="28"/>
          <w:szCs w:val="28"/>
        </w:rPr>
      </w:pPr>
    </w:p>
    <w:p w:rsidR="00F51383" w:rsidRPr="00C0094B" w:rsidRDefault="00F51383" w:rsidP="00F51383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887F4D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0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6"/>
      <w:bookmarkEnd w:id="0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7"/>
      <w:bookmarkEnd w:id="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8"/>
      <w:bookmarkEnd w:id="2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9"/>
      <w:bookmarkEnd w:id="3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90"/>
      <w:bookmarkEnd w:id="4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1"/>
      <w:bookmarkEnd w:id="5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2"/>
      <w:bookmarkEnd w:id="6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3"/>
      <w:bookmarkEnd w:id="7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4"/>
      <w:bookmarkEnd w:id="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5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6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7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8"/>
      <w:bookmarkEnd w:id="12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9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200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1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2"/>
      <w:bookmarkEnd w:id="16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3"/>
      <w:bookmarkEnd w:id="1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4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5"/>
      <w:bookmarkEnd w:id="19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6"/>
      <w:bookmarkEnd w:id="2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7"/>
      <w:bookmarkEnd w:id="21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8"/>
      <w:bookmarkEnd w:id="22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9"/>
      <w:bookmarkEnd w:id="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10"/>
      <w:bookmarkEnd w:id="24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Если в назначенные день и время заседание тендерной комиссии по вскрытию конвертов с тендерными заявками не состоялось по причине отсутствия кворума,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1"/>
      <w:bookmarkEnd w:id="25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2"/>
      <w:bookmarkEnd w:id="2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3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4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5"/>
      <w:bookmarkEnd w:id="29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6"/>
      <w:bookmarkEnd w:id="30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7"/>
      <w:bookmarkEnd w:id="31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8"/>
      <w:bookmarkEnd w:id="32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9"/>
      <w:bookmarkEnd w:id="33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20"/>
      <w:bookmarkEnd w:id="34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1"/>
      <w:bookmarkEnd w:id="35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2"/>
      <w:bookmarkEnd w:id="36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3"/>
      <w:bookmarkEnd w:id="37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4"/>
      <w:bookmarkEnd w:id="38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5"/>
      <w:bookmarkEnd w:id="39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6"/>
      <w:bookmarkEnd w:id="40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7"/>
      <w:bookmarkEnd w:id="41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8"/>
      <w:bookmarkEnd w:id="42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9"/>
      <w:bookmarkEnd w:id="43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30"/>
      <w:bookmarkEnd w:id="44"/>
      <w:r w:rsidRPr="00C0094B">
        <w:rPr>
          <w:color w:val="000000"/>
          <w:sz w:val="28"/>
          <w:szCs w:val="28"/>
        </w:rPr>
        <w:lastRenderedPageBreak/>
        <w:t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1"/>
      <w:bookmarkEnd w:id="45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2"/>
      <w:bookmarkEnd w:id="46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3"/>
      <w:bookmarkEnd w:id="47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4"/>
      <w:bookmarkEnd w:id="48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5"/>
      <w:bookmarkEnd w:id="4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6"/>
      <w:bookmarkEnd w:id="50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7"/>
      <w:bookmarkEnd w:id="5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8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9"/>
      <w:bookmarkEnd w:id="53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5" w:name="z240"/>
      <w:bookmarkEnd w:id="5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</w:t>
      </w:r>
      <w:r w:rsidRPr="00C0094B">
        <w:rPr>
          <w:color w:val="000000"/>
          <w:sz w:val="28"/>
          <w:szCs w:val="28"/>
        </w:rPr>
        <w:lastRenderedPageBreak/>
        <w:t>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 </w:t>
      </w:r>
      <w:r w:rsidR="008241CE">
        <w:rPr>
          <w:b/>
          <w:color w:val="000000" w:themeColor="text1"/>
          <w:sz w:val="28"/>
          <w:szCs w:val="28"/>
          <w:u w:val="single"/>
        </w:rPr>
        <w:t>23</w:t>
      </w:r>
      <w:r w:rsidR="005C5494">
        <w:rPr>
          <w:b/>
          <w:color w:val="000000" w:themeColor="text1"/>
          <w:sz w:val="28"/>
          <w:szCs w:val="28"/>
          <w:u w:val="single"/>
        </w:rPr>
        <w:t xml:space="preserve"> сентября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6" w:name="z241"/>
      <w:bookmarkEnd w:id="55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7" w:name="z242"/>
      <w:bookmarkEnd w:id="5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8241CE">
        <w:rPr>
          <w:b/>
          <w:sz w:val="28"/>
          <w:szCs w:val="28"/>
          <w:lang w:val="kk-KZ"/>
        </w:rPr>
        <w:t>30</w:t>
      </w:r>
      <w:r w:rsidR="005C5494">
        <w:rPr>
          <w:b/>
          <w:sz w:val="28"/>
          <w:szCs w:val="28"/>
          <w:lang w:val="kk-KZ"/>
        </w:rPr>
        <w:t xml:space="preserve"> сентября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8" w:name="z243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9" w:name="z244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5"/>
      <w:bookmarkEnd w:id="59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6"/>
      <w:bookmarkEnd w:id="6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7"/>
      <w:bookmarkEnd w:id="61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8"/>
      <w:bookmarkEnd w:id="62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9"/>
      <w:bookmarkEnd w:id="63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50"/>
      <w:bookmarkEnd w:id="6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</w:t>
      </w:r>
      <w:r w:rsidRPr="00C0094B">
        <w:rPr>
          <w:color w:val="000000"/>
          <w:sz w:val="28"/>
          <w:szCs w:val="28"/>
        </w:rPr>
        <w:lastRenderedPageBreak/>
        <w:t xml:space="preserve">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1"/>
      <w:bookmarkEnd w:id="65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2"/>
      <w:bookmarkEnd w:id="66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3"/>
      <w:bookmarkEnd w:id="67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4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5"/>
      <w:bookmarkEnd w:id="69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6"/>
      <w:bookmarkEnd w:id="70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7"/>
      <w:bookmarkEnd w:id="7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8"/>
      <w:bookmarkEnd w:id="72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9"/>
      <w:bookmarkEnd w:id="73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60"/>
      <w:bookmarkEnd w:id="74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1"/>
      <w:bookmarkEnd w:id="7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2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3"/>
      <w:bookmarkEnd w:id="77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</w:t>
      </w:r>
      <w:r w:rsidR="00C436B4" w:rsidRPr="00C436B4">
        <w:rPr>
          <w:b/>
          <w:sz w:val="28"/>
          <w:szCs w:val="28"/>
        </w:rPr>
        <w:lastRenderedPageBreak/>
        <w:t xml:space="preserve">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4"/>
      <w:bookmarkEnd w:id="78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5"/>
      <w:bookmarkEnd w:id="7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6"/>
      <w:bookmarkEnd w:id="80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7"/>
      <w:bookmarkEnd w:id="81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8"/>
      <w:bookmarkEnd w:id="82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9"/>
      <w:bookmarkEnd w:id="83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70"/>
      <w:bookmarkEnd w:id="84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1"/>
      <w:bookmarkEnd w:id="8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2"/>
      <w:bookmarkEnd w:id="86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3"/>
      <w:bookmarkEnd w:id="87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4"/>
      <w:bookmarkEnd w:id="88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5"/>
      <w:bookmarkEnd w:id="8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6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7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8"/>
      <w:bookmarkEnd w:id="92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9"/>
      <w:bookmarkEnd w:id="93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80"/>
      <w:bookmarkEnd w:id="94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5C5494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6" w:name="z281"/>
      <w:bookmarkEnd w:id="95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5C5494">
        <w:rPr>
          <w:b/>
          <w:color w:val="000000"/>
          <w:sz w:val="28"/>
          <w:szCs w:val="28"/>
        </w:rPr>
        <w:t>"Тендер по закупу</w:t>
      </w:r>
      <w:r w:rsidR="00A61713" w:rsidRPr="005C5494">
        <w:rPr>
          <w:b/>
          <w:color w:val="000000"/>
          <w:sz w:val="28"/>
          <w:szCs w:val="28"/>
        </w:rPr>
        <w:t xml:space="preserve"> медицинской техники </w:t>
      </w:r>
      <w:r w:rsidRPr="005C5494">
        <w:rPr>
          <w:b/>
          <w:color w:val="000000"/>
          <w:sz w:val="28"/>
          <w:szCs w:val="28"/>
        </w:rPr>
        <w:t>и "Не вскрывать до</w:t>
      </w:r>
      <w:r w:rsidR="00A61713" w:rsidRPr="005C5494">
        <w:rPr>
          <w:b/>
          <w:color w:val="000000"/>
          <w:sz w:val="28"/>
          <w:szCs w:val="28"/>
        </w:rPr>
        <w:t xml:space="preserve"> </w:t>
      </w:r>
      <w:r w:rsidR="00B2330D" w:rsidRPr="005C5494">
        <w:rPr>
          <w:b/>
          <w:color w:val="000000"/>
          <w:sz w:val="28"/>
          <w:szCs w:val="28"/>
        </w:rPr>
        <w:t xml:space="preserve">11:00 часов </w:t>
      </w:r>
      <w:r w:rsidR="007F6D0F">
        <w:rPr>
          <w:b/>
          <w:color w:val="000000"/>
          <w:sz w:val="28"/>
          <w:szCs w:val="28"/>
        </w:rPr>
        <w:t>30</w:t>
      </w:r>
      <w:r w:rsidR="005C5494">
        <w:rPr>
          <w:b/>
          <w:color w:val="000000"/>
          <w:sz w:val="28"/>
          <w:szCs w:val="28"/>
        </w:rPr>
        <w:t xml:space="preserve"> сентября</w:t>
      </w:r>
      <w:r w:rsidR="00A61713" w:rsidRPr="005C5494">
        <w:rPr>
          <w:b/>
          <w:color w:val="000000"/>
          <w:sz w:val="28"/>
          <w:szCs w:val="28"/>
        </w:rPr>
        <w:t xml:space="preserve"> 202</w:t>
      </w:r>
      <w:r w:rsidR="00B2330D" w:rsidRPr="005C5494">
        <w:rPr>
          <w:b/>
          <w:color w:val="000000"/>
          <w:sz w:val="28"/>
          <w:szCs w:val="28"/>
        </w:rPr>
        <w:t>4</w:t>
      </w:r>
      <w:r w:rsidR="00A61713" w:rsidRPr="005C5494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lastRenderedPageBreak/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>. 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7" w:name="z282"/>
      <w:bookmarkEnd w:id="96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8" w:name="z283"/>
      <w:bookmarkEnd w:id="9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4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7F6D0F">
        <w:rPr>
          <w:b/>
          <w:color w:val="000000"/>
          <w:sz w:val="28"/>
          <w:szCs w:val="28"/>
        </w:rPr>
        <w:t>30</w:t>
      </w:r>
      <w:r w:rsidR="005C5494">
        <w:rPr>
          <w:b/>
          <w:color w:val="000000"/>
          <w:sz w:val="28"/>
          <w:szCs w:val="28"/>
        </w:rPr>
        <w:t xml:space="preserve"> сентября</w:t>
      </w:r>
      <w:r w:rsidR="005C5494" w:rsidRPr="005C5494">
        <w:rPr>
          <w:b/>
          <w:color w:val="000000"/>
          <w:sz w:val="28"/>
          <w:szCs w:val="28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0" w:name="z285"/>
      <w:bookmarkEnd w:id="99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7F6D0F">
        <w:rPr>
          <w:b/>
          <w:color w:val="000000"/>
          <w:sz w:val="28"/>
          <w:szCs w:val="28"/>
        </w:rPr>
        <w:t>30</w:t>
      </w:r>
      <w:r w:rsidR="005C5494">
        <w:rPr>
          <w:b/>
          <w:color w:val="000000"/>
          <w:sz w:val="28"/>
          <w:szCs w:val="28"/>
        </w:rPr>
        <w:t xml:space="preserve"> сентября</w:t>
      </w:r>
      <w:r w:rsidR="005C5494" w:rsidRPr="005C5494">
        <w:rPr>
          <w:b/>
          <w:color w:val="000000"/>
          <w:sz w:val="28"/>
          <w:szCs w:val="28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6"/>
      <w:bookmarkEnd w:id="100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2" w:name="z287"/>
      <w:bookmarkEnd w:id="101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3" w:name="z288"/>
      <w:bookmarkEnd w:id="10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9"/>
      <w:bookmarkEnd w:id="103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90"/>
      <w:bookmarkEnd w:id="104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1"/>
      <w:bookmarkEnd w:id="105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6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4"/>
      <w:r w:rsidRPr="00C0094B">
        <w:rPr>
          <w:color w:val="000000"/>
          <w:sz w:val="28"/>
          <w:szCs w:val="28"/>
        </w:rPr>
        <w:lastRenderedPageBreak/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C0094B">
        <w:rPr>
          <w:color w:val="000000"/>
          <w:sz w:val="28"/>
          <w:szCs w:val="28"/>
        </w:rPr>
        <w:t>прекурсоров</w:t>
      </w:r>
      <w:proofErr w:type="spellEnd"/>
      <w:r w:rsidRPr="00C0094B">
        <w:rPr>
          <w:color w:val="000000"/>
          <w:sz w:val="28"/>
          <w:szCs w:val="28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5"/>
      <w:bookmarkEnd w:id="107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6"/>
      <w:bookmarkEnd w:id="108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7"/>
      <w:bookmarkEnd w:id="109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8"/>
      <w:bookmarkEnd w:id="110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9"/>
      <w:bookmarkEnd w:id="111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300"/>
      <w:bookmarkEnd w:id="112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1"/>
      <w:bookmarkEnd w:id="113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2"/>
      <w:bookmarkEnd w:id="114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3"/>
      <w:bookmarkEnd w:id="115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4"/>
      <w:bookmarkEnd w:id="116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5"/>
      <w:bookmarkEnd w:id="117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6"/>
      <w:bookmarkEnd w:id="118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7"/>
      <w:bookmarkEnd w:id="119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8"/>
      <w:bookmarkEnd w:id="120"/>
      <w:r w:rsidRPr="00C0094B">
        <w:rPr>
          <w:color w:val="000000"/>
          <w:sz w:val="28"/>
          <w:szCs w:val="28"/>
        </w:rPr>
        <w:lastRenderedPageBreak/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9"/>
      <w:bookmarkEnd w:id="121"/>
      <w:r w:rsidRPr="00C0094B">
        <w:rPr>
          <w:color w:val="000000"/>
          <w:sz w:val="28"/>
          <w:szCs w:val="28"/>
        </w:rPr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10"/>
      <w:bookmarkEnd w:id="12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1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2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3"/>
      <w:bookmarkEnd w:id="125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4"/>
      <w:bookmarkEnd w:id="126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5"/>
      <w:bookmarkEnd w:id="1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29" w:name="z316"/>
      <w:bookmarkEnd w:id="128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0" w:name="z317"/>
      <w:bookmarkEnd w:id="129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1" w:name="z318"/>
      <w:bookmarkEnd w:id="13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9"/>
      <w:bookmarkEnd w:id="131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20"/>
      <w:bookmarkEnd w:id="132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1"/>
      <w:bookmarkEnd w:id="133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2"/>
      <w:bookmarkEnd w:id="134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3"/>
      <w:bookmarkEnd w:id="135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4"/>
      <w:bookmarkEnd w:id="136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5"/>
      <w:bookmarkEnd w:id="137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6"/>
      <w:bookmarkEnd w:id="138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7"/>
      <w:bookmarkEnd w:id="139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8"/>
      <w:bookmarkEnd w:id="140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9"/>
      <w:bookmarkEnd w:id="141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30"/>
      <w:bookmarkEnd w:id="142"/>
      <w:r w:rsidRPr="00C0094B">
        <w:rPr>
          <w:color w:val="000000"/>
          <w:sz w:val="28"/>
          <w:szCs w:val="28"/>
        </w:rPr>
        <w:lastRenderedPageBreak/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1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4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lastRenderedPageBreak/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>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lastRenderedPageBreak/>
        <w:t xml:space="preserve">Приложение №1 </w:t>
      </w:r>
    </w:p>
    <w:p w:rsidR="002744DD" w:rsidRPr="00C0094B" w:rsidRDefault="00A61713" w:rsidP="00FA5EE7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2744DD" w:rsidRPr="00C0094B">
        <w:rPr>
          <w:sz w:val="28"/>
          <w:szCs w:val="28"/>
        </w:rPr>
        <w:t xml:space="preserve"> </w:t>
      </w:r>
      <w:r w:rsidR="003E4AA4">
        <w:rPr>
          <w:sz w:val="28"/>
          <w:szCs w:val="28"/>
        </w:rPr>
        <w:t>т</w:t>
      </w:r>
      <w:r w:rsidR="002744DD" w:rsidRPr="00C0094B">
        <w:rPr>
          <w:sz w:val="28"/>
          <w:szCs w:val="28"/>
        </w:rPr>
        <w:t>ендерной документации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Перечень закупаемых товаров</w:t>
      </w:r>
    </w:p>
    <w:p w:rsidR="002744DD" w:rsidRPr="00C0094B" w:rsidRDefault="002744DD" w:rsidP="002744DD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090"/>
        <w:gridCol w:w="2670"/>
        <w:gridCol w:w="681"/>
        <w:gridCol w:w="810"/>
        <w:gridCol w:w="2221"/>
        <w:gridCol w:w="1775"/>
        <w:gridCol w:w="1922"/>
        <w:gridCol w:w="1268"/>
        <w:gridCol w:w="1748"/>
      </w:tblGrid>
      <w:tr w:rsidR="003404DB" w:rsidRPr="00C0094B" w:rsidTr="0010448C">
        <w:trPr>
          <w:trHeight w:val="1169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N лота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заказчика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Наименование товара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C0094B">
              <w:rPr>
                <w:b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Место поставки товаров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 xml:space="preserve">Цена за единицу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C0094B" w:rsidRDefault="003404DB" w:rsidP="003404DB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C0094B" w:rsidTr="0010448C">
        <w:trPr>
          <w:trHeight w:val="240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7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C0094B" w:rsidRDefault="003404DB" w:rsidP="00E14358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10</w:t>
            </w:r>
          </w:p>
        </w:tc>
      </w:tr>
      <w:tr w:rsidR="00A61713" w:rsidRPr="00C0094B" w:rsidTr="0010448C">
        <w:trPr>
          <w:trHeight w:val="483"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1E280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A61713" w:rsidP="00A61713">
            <w:pPr>
              <w:jc w:val="center"/>
              <w:rPr>
                <w:b/>
                <w:sz w:val="28"/>
                <w:szCs w:val="28"/>
              </w:rPr>
            </w:pPr>
            <w:r w:rsidRPr="00A61713">
              <w:rPr>
                <w:b/>
                <w:sz w:val="28"/>
                <w:szCs w:val="28"/>
              </w:rPr>
              <w:t>ЛОТ №1</w:t>
            </w:r>
          </w:p>
          <w:p w:rsidR="00A61713" w:rsidRPr="00E242DA" w:rsidRDefault="008241CE" w:rsidP="00666CE7">
            <w:pPr>
              <w:jc w:val="center"/>
            </w:pPr>
            <w:r w:rsidRPr="008241CE">
              <w:rPr>
                <w:sz w:val="28"/>
              </w:rPr>
              <w:t xml:space="preserve">Микроскоп лабораторный медицинский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>
            <w:pPr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8241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DDP пункт назначения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8241CE" w:rsidP="001211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A61713" w:rsidRPr="00C0094B">
              <w:rPr>
                <w:color w:val="000000"/>
                <w:sz w:val="28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C0094B" w:rsidRDefault="00A61713" w:rsidP="003404DB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КГП “</w:t>
            </w:r>
            <w:proofErr w:type="spellStart"/>
            <w:r w:rsidRPr="00C0094B">
              <w:rPr>
                <w:sz w:val="28"/>
                <w:szCs w:val="28"/>
              </w:rPr>
              <w:t>Рудненская</w:t>
            </w:r>
            <w:proofErr w:type="spellEnd"/>
            <w:r w:rsidRPr="00C0094B">
              <w:rPr>
                <w:sz w:val="28"/>
                <w:szCs w:val="28"/>
              </w:rPr>
              <w:t xml:space="preserve"> городская поликлиника» </w:t>
            </w:r>
            <w:proofErr w:type="spellStart"/>
            <w:r w:rsidRPr="00C0094B">
              <w:rPr>
                <w:sz w:val="28"/>
                <w:szCs w:val="28"/>
              </w:rPr>
              <w:t>УЗаКО</w:t>
            </w:r>
            <w:proofErr w:type="spellEnd"/>
            <w:r w:rsidRPr="00C0094B">
              <w:rPr>
                <w:sz w:val="28"/>
                <w:szCs w:val="28"/>
              </w:rPr>
              <w:t xml:space="preserve"> </w:t>
            </w:r>
            <w:proofErr w:type="spellStart"/>
            <w:r w:rsidRPr="00C0094B">
              <w:rPr>
                <w:sz w:val="28"/>
                <w:szCs w:val="28"/>
              </w:rPr>
              <w:t>г</w:t>
            </w:r>
            <w:proofErr w:type="gramStart"/>
            <w:r w:rsidRPr="00C0094B">
              <w:rPr>
                <w:sz w:val="28"/>
                <w:szCs w:val="28"/>
              </w:rPr>
              <w:t>.Р</w:t>
            </w:r>
            <w:proofErr w:type="gramEnd"/>
            <w:r w:rsidRPr="00C0094B">
              <w:rPr>
                <w:sz w:val="28"/>
                <w:szCs w:val="28"/>
              </w:rPr>
              <w:t>удный</w:t>
            </w:r>
            <w:proofErr w:type="spellEnd"/>
            <w:r w:rsidRPr="00C0094B">
              <w:rPr>
                <w:sz w:val="28"/>
                <w:szCs w:val="28"/>
              </w:rPr>
              <w:t>, ул.50 лет Октября 102 А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8241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1 287 900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713" w:rsidRPr="00A61713" w:rsidRDefault="008241C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3 863 700</w:t>
            </w:r>
            <w:bookmarkStart w:id="145" w:name="_GoBack"/>
            <w:bookmarkEnd w:id="145"/>
          </w:p>
        </w:tc>
      </w:tr>
    </w:tbl>
    <w:p w:rsidR="00F70B72" w:rsidRDefault="00F70B72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36130C" w:rsidRDefault="0036130C" w:rsidP="00FA5EE7">
      <w:pPr>
        <w:rPr>
          <w:sz w:val="28"/>
          <w:szCs w:val="28"/>
        </w:rPr>
      </w:pPr>
    </w:p>
    <w:p w:rsidR="007B273C" w:rsidRDefault="007B273C" w:rsidP="00FA5EE7">
      <w:pPr>
        <w:rPr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</w:pPr>
      <w:r w:rsidRPr="00C0094B">
        <w:rPr>
          <w:sz w:val="28"/>
          <w:szCs w:val="28"/>
        </w:rPr>
        <w:t>Приложение №2</w:t>
      </w:r>
    </w:p>
    <w:p w:rsidR="002744DD" w:rsidRPr="00C0094B" w:rsidRDefault="003B6A5A" w:rsidP="00FA5EE7">
      <w:p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744DD" w:rsidRPr="00C0094B">
        <w:rPr>
          <w:sz w:val="28"/>
          <w:szCs w:val="28"/>
        </w:rPr>
        <w:t>тендерной документации</w:t>
      </w:r>
    </w:p>
    <w:p w:rsidR="00C7480B" w:rsidRPr="00C0094B" w:rsidRDefault="00C7480B" w:rsidP="00C7480B">
      <w:pPr>
        <w:pStyle w:val="ac"/>
        <w:ind w:left="426" w:hanging="426"/>
        <w:rPr>
          <w:rFonts w:ascii="Times New Roman" w:hAnsi="Times New Roman"/>
          <w:caps w:val="0"/>
          <w:sz w:val="28"/>
          <w:szCs w:val="28"/>
        </w:rPr>
      </w:pPr>
      <w:r w:rsidRPr="00C0094B">
        <w:rPr>
          <w:rFonts w:ascii="Times New Roman" w:hAnsi="Times New Roman"/>
          <w:caps w:val="0"/>
          <w:sz w:val="28"/>
          <w:szCs w:val="28"/>
        </w:rPr>
        <w:t>Техническая спецификация закупаемых товаров</w:t>
      </w:r>
      <w:r w:rsidR="00165F73" w:rsidRPr="00C0094B">
        <w:rPr>
          <w:rFonts w:ascii="Times New Roman" w:hAnsi="Times New Roman"/>
          <w:caps w:val="0"/>
          <w:sz w:val="28"/>
          <w:szCs w:val="28"/>
        </w:rPr>
        <w:t xml:space="preserve"> </w:t>
      </w:r>
    </w:p>
    <w:p w:rsidR="003402CB" w:rsidRPr="00C0094B" w:rsidRDefault="003402CB" w:rsidP="002102B7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C0094B" w:rsidTr="00B602F3">
        <w:tc>
          <w:tcPr>
            <w:tcW w:w="626" w:type="dxa"/>
            <w:vAlign w:val="center"/>
          </w:tcPr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№</w:t>
            </w:r>
          </w:p>
          <w:p w:rsidR="00B77AA0" w:rsidRPr="00C0094B" w:rsidRDefault="00B77AA0" w:rsidP="00B77AA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0094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Ед.</w:t>
            </w:r>
          </w:p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C0094B" w:rsidRDefault="00B77AA0" w:rsidP="00B77AA0">
            <w:pPr>
              <w:jc w:val="center"/>
              <w:rPr>
                <w:sz w:val="28"/>
                <w:szCs w:val="28"/>
              </w:rPr>
            </w:pPr>
            <w:r w:rsidRPr="00C0094B">
              <w:rPr>
                <w:sz w:val="28"/>
                <w:szCs w:val="28"/>
              </w:rPr>
              <w:t>Краткая характеристика</w:t>
            </w:r>
          </w:p>
        </w:tc>
      </w:tr>
      <w:tr w:rsidR="00CE3E9F" w:rsidRPr="00C0094B" w:rsidTr="00B602F3">
        <w:tc>
          <w:tcPr>
            <w:tcW w:w="626" w:type="dxa"/>
          </w:tcPr>
          <w:p w:rsidR="00CE3E9F" w:rsidRPr="00C0094B" w:rsidRDefault="00CE3E9F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323" w:type="dxa"/>
          </w:tcPr>
          <w:p w:rsidR="00121160" w:rsidRPr="00C0094B" w:rsidRDefault="00121160" w:rsidP="00AD6722">
            <w:pPr>
              <w:jc w:val="center"/>
              <w:rPr>
                <w:b/>
                <w:sz w:val="28"/>
                <w:szCs w:val="28"/>
              </w:rPr>
            </w:pPr>
          </w:p>
          <w:p w:rsidR="00AD6722" w:rsidRPr="00C0094B" w:rsidRDefault="00AD6722" w:rsidP="00AD6722">
            <w:pPr>
              <w:tabs>
                <w:tab w:val="left" w:pos="1275"/>
              </w:tabs>
              <w:jc w:val="center"/>
              <w:rPr>
                <w:b/>
                <w:sz w:val="28"/>
                <w:szCs w:val="28"/>
              </w:rPr>
            </w:pPr>
            <w:r w:rsidRPr="00C0094B">
              <w:rPr>
                <w:b/>
                <w:sz w:val="28"/>
                <w:szCs w:val="28"/>
              </w:rPr>
              <w:t>ЛОТ №1</w:t>
            </w:r>
          </w:p>
          <w:p w:rsidR="00121160" w:rsidRPr="003B6A5A" w:rsidRDefault="008241CE" w:rsidP="00FA42EF">
            <w:pPr>
              <w:jc w:val="center"/>
              <w:rPr>
                <w:color w:val="000000"/>
                <w:sz w:val="28"/>
                <w:szCs w:val="28"/>
              </w:rPr>
            </w:pPr>
            <w:r w:rsidRPr="008241CE">
              <w:rPr>
                <w:sz w:val="28"/>
              </w:rPr>
              <w:t xml:space="preserve">Микроскоп лабораторный медицинский </w:t>
            </w:r>
          </w:p>
        </w:tc>
        <w:tc>
          <w:tcPr>
            <w:tcW w:w="955" w:type="dxa"/>
            <w:vAlign w:val="center"/>
          </w:tcPr>
          <w:p w:rsidR="00CE3E9F" w:rsidRPr="00C0094B" w:rsidRDefault="00CE3E9F" w:rsidP="00AD6722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CE3E9F" w:rsidRPr="00C0094B" w:rsidRDefault="008241CE" w:rsidP="00AD672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296" w:type="dxa"/>
          </w:tcPr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Методы исследования Проходящий свет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Методы контрастирования Светлое поле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Штатив микроскопа Прямого типа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Осветительная система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proofErr w:type="gramStart"/>
            <w:r w:rsidRPr="008241CE">
              <w:rPr>
                <w:sz w:val="28"/>
                <w:szCs w:val="28"/>
              </w:rPr>
              <w:t>Встроенная</w:t>
            </w:r>
            <w:proofErr w:type="gramEnd"/>
            <w:r w:rsidRPr="008241CE">
              <w:rPr>
                <w:sz w:val="28"/>
                <w:szCs w:val="28"/>
              </w:rPr>
              <w:t xml:space="preserve"> в основание штатива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Обеспечение принципа Келера 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Осветитель проходящего света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Галогенная лампа мощностью 30 Вт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светодиодный осветитель LED с цветовой температурой 3200К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Жёстко закреплённая полевая диафрагма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Система крепления галогенной лампы, позволяющая устанавливать также и светодиодный модуль мощностью 6 Вт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Замена ламп без наклона или переворачивания штатива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Источник питания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Выносной, </w:t>
            </w:r>
            <w:proofErr w:type="gramStart"/>
            <w:r w:rsidRPr="008241CE">
              <w:rPr>
                <w:sz w:val="28"/>
                <w:szCs w:val="28"/>
              </w:rPr>
              <w:t>стабилизированный</w:t>
            </w:r>
            <w:proofErr w:type="gramEnd"/>
            <w:r w:rsidRPr="008241CE">
              <w:rPr>
                <w:sz w:val="28"/>
                <w:szCs w:val="28"/>
              </w:rPr>
              <w:t xml:space="preserve"> к перепадам напряжения в сети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Плавный регулятор мощности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Менеджер света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Светодиодный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Расположение – по обеим сторонам микроскопа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Оперативный контроль уровня освещенности в плоскости предмета (5  градаций индикации освещённости)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Механический предметный стол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Ручки </w:t>
            </w:r>
            <w:proofErr w:type="spellStart"/>
            <w:r w:rsidRPr="008241CE">
              <w:rPr>
                <w:sz w:val="28"/>
                <w:szCs w:val="28"/>
              </w:rPr>
              <w:t>препаратоводителя</w:t>
            </w:r>
            <w:proofErr w:type="spellEnd"/>
            <w:r w:rsidRPr="008241CE">
              <w:rPr>
                <w:sz w:val="28"/>
                <w:szCs w:val="28"/>
              </w:rPr>
              <w:t xml:space="preserve"> – коаксиальные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lastRenderedPageBreak/>
              <w:t xml:space="preserve">Расположение </w:t>
            </w:r>
            <w:proofErr w:type="spellStart"/>
            <w:r w:rsidRPr="008241CE">
              <w:rPr>
                <w:sz w:val="28"/>
                <w:szCs w:val="28"/>
              </w:rPr>
              <w:t>препаратоводителя</w:t>
            </w:r>
            <w:proofErr w:type="spellEnd"/>
            <w:r w:rsidRPr="008241CE">
              <w:rPr>
                <w:sz w:val="28"/>
                <w:szCs w:val="28"/>
              </w:rPr>
              <w:t xml:space="preserve"> – справа 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Размер стола 140х135 мм 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Поверхность с керамическим или твердосплавным покрытием, стойким к чистке и реактивам 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proofErr w:type="spellStart"/>
            <w:r w:rsidRPr="008241CE">
              <w:rPr>
                <w:sz w:val="28"/>
                <w:szCs w:val="28"/>
              </w:rPr>
              <w:t>Препаратодержатель</w:t>
            </w:r>
            <w:proofErr w:type="spellEnd"/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Механизм фокусировки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Коаксиальные ручки грубой и точной фокусировки расположенные с обеих сторон штатива, одна из ручек точной фокусировки - плоская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Винт регулировки усилия </w:t>
            </w:r>
            <w:proofErr w:type="spellStart"/>
            <w:r w:rsidRPr="008241CE">
              <w:rPr>
                <w:sz w:val="28"/>
                <w:szCs w:val="28"/>
              </w:rPr>
              <w:t>фокусировочного</w:t>
            </w:r>
            <w:proofErr w:type="spellEnd"/>
            <w:r w:rsidRPr="008241CE">
              <w:rPr>
                <w:sz w:val="28"/>
                <w:szCs w:val="28"/>
              </w:rPr>
              <w:t xml:space="preserve"> механизма, расположенный коаксиально с </w:t>
            </w:r>
            <w:proofErr w:type="spellStart"/>
            <w:r w:rsidRPr="008241CE">
              <w:rPr>
                <w:sz w:val="28"/>
                <w:szCs w:val="28"/>
              </w:rPr>
              <w:t>фокусировочными</w:t>
            </w:r>
            <w:proofErr w:type="spellEnd"/>
            <w:r w:rsidRPr="008241CE">
              <w:rPr>
                <w:sz w:val="28"/>
                <w:szCs w:val="28"/>
              </w:rPr>
              <w:t xml:space="preserve"> рукоятками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proofErr w:type="spellStart"/>
            <w:r w:rsidRPr="008241CE">
              <w:rPr>
                <w:sz w:val="28"/>
                <w:szCs w:val="28"/>
              </w:rPr>
              <w:t>Парфокальное</w:t>
            </w:r>
            <w:proofErr w:type="spellEnd"/>
            <w:r w:rsidRPr="008241CE">
              <w:rPr>
                <w:sz w:val="28"/>
                <w:szCs w:val="28"/>
              </w:rPr>
              <w:t xml:space="preserve"> расстояние всех объективов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От ≥33 до ≤45 мм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Тип оптической коррекции всех объективов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proofErr w:type="spellStart"/>
            <w:r w:rsidRPr="008241CE">
              <w:rPr>
                <w:sz w:val="28"/>
                <w:szCs w:val="28"/>
              </w:rPr>
              <w:t>Планахроматический</w:t>
            </w:r>
            <w:proofErr w:type="spellEnd"/>
            <w:r w:rsidRPr="008241CE">
              <w:rPr>
                <w:sz w:val="28"/>
                <w:szCs w:val="28"/>
              </w:rPr>
              <w:t xml:space="preserve"> или </w:t>
            </w:r>
            <w:proofErr w:type="spellStart"/>
            <w:r w:rsidRPr="008241CE">
              <w:rPr>
                <w:sz w:val="28"/>
                <w:szCs w:val="28"/>
              </w:rPr>
              <w:t>планапохроматический</w:t>
            </w:r>
            <w:proofErr w:type="spellEnd"/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Объективы для исследований в проходящем свете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Увеличение 4х, числовая апертура 0.10, рабочее расстояние 12.0 мм 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Увеличение 10х, числовая апертура 0.25, рабочее расстояние 4.3 мм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Увеличение 40х, числовая апертура 0.65, рабочее расстояние 0.61 мм 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Увеличение 100х, числовая апертура 1.25, рабочее расстояние 0.21 мм Объектив масляной иммерсии. В комплекте с иммерсионным маслом соответствующим ISO 8036/1, </w:t>
            </w:r>
            <w:proofErr w:type="spellStart"/>
            <w:r w:rsidRPr="008241CE">
              <w:rPr>
                <w:sz w:val="28"/>
                <w:szCs w:val="28"/>
              </w:rPr>
              <w:t>ne</w:t>
            </w:r>
            <w:proofErr w:type="spellEnd"/>
            <w:r w:rsidRPr="008241CE">
              <w:rPr>
                <w:sz w:val="28"/>
                <w:szCs w:val="28"/>
              </w:rPr>
              <w:t>=1.518 (23°C) в маслёнке-капельнице объемом 5 мл.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Револьверное устройство для установки и смены объективов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Установка 4 объективов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Развёрнуто от пользователя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Объективы должны быть зафиксированы для предотвращения их свободного извлечения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Конденсор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Числовая апертура - 0.9/1.25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 xml:space="preserve">Наличие </w:t>
            </w:r>
            <w:proofErr w:type="spellStart"/>
            <w:r w:rsidRPr="008241CE">
              <w:rPr>
                <w:sz w:val="28"/>
                <w:szCs w:val="28"/>
              </w:rPr>
              <w:t>центрировочных</w:t>
            </w:r>
            <w:proofErr w:type="spellEnd"/>
            <w:r w:rsidRPr="008241CE">
              <w:rPr>
                <w:sz w:val="28"/>
                <w:szCs w:val="28"/>
              </w:rPr>
              <w:t xml:space="preserve"> потайных винтов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Регулируемая апертурная диафрагма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lastRenderedPageBreak/>
              <w:t xml:space="preserve">Промежуточный тубус со светодиодным (LED) флуоресцентным осветителем отражённого света - возможность </w:t>
            </w:r>
            <w:proofErr w:type="spellStart"/>
            <w:r w:rsidRPr="008241CE">
              <w:rPr>
                <w:sz w:val="28"/>
                <w:szCs w:val="28"/>
              </w:rPr>
              <w:t>доукомплектации</w:t>
            </w:r>
            <w:proofErr w:type="spellEnd"/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Бинокулярная насадка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Угол наклона окулярных трубок 30º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Поле зрения 20 мм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Изменение высоты взора путём разворачивания окулярных трубок вверх с помощью механизма раздвижки по глазной базе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Регулировка межзрачкового расстояния в диапазоне от ≤48 до ≥75 мм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Окуляры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Увеличение 10х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Линейное поле 18 мм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Возможность работы в очках и без них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Диоптрийная коррекция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Окуляры зафиксированы для предотвращения их свободного извлечения (количество - 2 штуки)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Пылезащитный чехол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Антигрибковое покрытие оптики</w:t>
            </w:r>
          </w:p>
          <w:p w:rsidR="008241CE" w:rsidRPr="008241CE" w:rsidRDefault="008241CE" w:rsidP="008241CE">
            <w:pPr>
              <w:pStyle w:val="a6"/>
              <w:rPr>
                <w:sz w:val="28"/>
                <w:szCs w:val="28"/>
              </w:rPr>
            </w:pPr>
            <w:r w:rsidRPr="008241CE">
              <w:rPr>
                <w:sz w:val="28"/>
                <w:szCs w:val="28"/>
              </w:rPr>
              <w:t>Способность выдерживать высокие механические нагрузки при длительном постоянном использовании, наличие переносной ручки для обеспечения удобства и максимальной надежности переноски микроскопа и устойчивость к опрокидыванию.</w:t>
            </w:r>
          </w:p>
          <w:p w:rsidR="00562AC3" w:rsidRDefault="008241CE" w:rsidP="008241CE">
            <w:pPr>
              <w:jc w:val="both"/>
              <w:rPr>
                <w:color w:val="000000"/>
              </w:rPr>
            </w:pPr>
            <w:r w:rsidRPr="008241CE">
              <w:rPr>
                <w:color w:val="000000"/>
                <w:sz w:val="28"/>
                <w:szCs w:val="28"/>
              </w:rPr>
              <w:t>Электрические характеристики: напряжение / частота от 100 до 240</w:t>
            </w:r>
            <w:proofErr w:type="gramStart"/>
            <w:r w:rsidRPr="008241CE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8241CE">
              <w:rPr>
                <w:color w:val="000000"/>
                <w:sz w:val="28"/>
                <w:szCs w:val="28"/>
              </w:rPr>
              <w:t xml:space="preserve"> / 50-60 Гц</w:t>
            </w:r>
          </w:p>
          <w:p w:rsidR="008241CE" w:rsidRPr="00562AC3" w:rsidRDefault="008241CE" w:rsidP="008241CE">
            <w:pPr>
              <w:jc w:val="both"/>
              <w:rPr>
                <w:sz w:val="28"/>
                <w:szCs w:val="28"/>
              </w:rPr>
            </w:pP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b/>
                <w:sz w:val="28"/>
                <w:szCs w:val="28"/>
              </w:rPr>
              <w:t>Условия гарантийного сервисного обслуживания МИ ТСО поставщиком, его сервисными центрами в Республике Казахстан либо с привлечением третьих компетентных лиц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Гарантийное сервисное обслуживание МИ ТСО не менее 37 месяцев.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Плановое техническое обслуживание должно проводиться не реже чем 1 раз в квартал.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Работы по техническому обслуживанию выполняются в соответствии с </w:t>
            </w:r>
            <w:r w:rsidRPr="00562AC3">
              <w:rPr>
                <w:sz w:val="28"/>
                <w:szCs w:val="28"/>
              </w:rPr>
              <w:lastRenderedPageBreak/>
              <w:t>требованиями эксплуатационной документации и должны включать в себя: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замену отработавших ресурс составных частей;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замене или восстановлении отдельных частей МИ ТСО;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настройку и регулировку изделия;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чистку, смазку и при необходимости переборку основных механизмов и узлов;</w:t>
            </w:r>
          </w:p>
          <w:p w:rsidR="00562AC3" w:rsidRPr="00562AC3" w:rsidRDefault="00562AC3" w:rsidP="00562AC3">
            <w:pPr>
              <w:widowControl w:val="0"/>
              <w:jc w:val="both"/>
              <w:rPr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62AC3">
              <w:rPr>
                <w:sz w:val="28"/>
                <w:szCs w:val="28"/>
              </w:rPr>
              <w:t>блочно</w:t>
            </w:r>
            <w:proofErr w:type="spellEnd"/>
            <w:r w:rsidRPr="00562AC3">
              <w:rPr>
                <w:sz w:val="28"/>
                <w:szCs w:val="28"/>
              </w:rPr>
              <w:t>-узловой разборкой);</w:t>
            </w:r>
          </w:p>
          <w:p w:rsidR="00562AC3" w:rsidRPr="00562AC3" w:rsidRDefault="00562AC3" w:rsidP="00562AC3">
            <w:pPr>
              <w:jc w:val="both"/>
              <w:rPr>
                <w:color w:val="000000"/>
                <w:sz w:val="28"/>
                <w:szCs w:val="28"/>
              </w:rPr>
            </w:pPr>
            <w:r w:rsidRPr="00562AC3">
              <w:rPr>
                <w:sz w:val="28"/>
                <w:szCs w:val="28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562AC3">
              <w:rPr>
                <w:sz w:val="28"/>
                <w:szCs w:val="28"/>
              </w:rPr>
              <w:t>й-</w:t>
            </w:r>
            <w:proofErr w:type="gramEnd"/>
            <w:r w:rsidRPr="00562AC3">
              <w:rPr>
                <w:sz w:val="28"/>
                <w:szCs w:val="28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5A1500" w:rsidRPr="00C0094B" w:rsidRDefault="005A1500" w:rsidP="00121160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F9F" w:rsidRDefault="00C04F9F" w:rsidP="005E31A7">
      <w:r>
        <w:separator/>
      </w:r>
    </w:p>
  </w:endnote>
  <w:endnote w:type="continuationSeparator" w:id="0">
    <w:p w:rsidR="00C04F9F" w:rsidRDefault="00C04F9F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D0F" w:rsidRDefault="007F6D0F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8241CE">
      <w:rPr>
        <w:noProof/>
      </w:rPr>
      <w:t>34</w:t>
    </w:r>
    <w:r>
      <w:rPr>
        <w:noProof/>
      </w:rPr>
      <w:fldChar w:fldCharType="end"/>
    </w:r>
  </w:p>
  <w:p w:rsidR="007F6D0F" w:rsidRDefault="007F6D0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F9F" w:rsidRDefault="00C04F9F" w:rsidP="005E31A7">
      <w:r>
        <w:separator/>
      </w:r>
    </w:p>
  </w:footnote>
  <w:footnote w:type="continuationSeparator" w:id="0">
    <w:p w:rsidR="00C04F9F" w:rsidRDefault="00C04F9F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10112E"/>
    <w:rsid w:val="0010448C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9100F"/>
    <w:rsid w:val="001A69E6"/>
    <w:rsid w:val="001A71E0"/>
    <w:rsid w:val="001C078F"/>
    <w:rsid w:val="001C5A89"/>
    <w:rsid w:val="001D0014"/>
    <w:rsid w:val="001D14D8"/>
    <w:rsid w:val="001E2800"/>
    <w:rsid w:val="001E55E4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24211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B6077"/>
    <w:rsid w:val="002C4BCA"/>
    <w:rsid w:val="002D323E"/>
    <w:rsid w:val="002D34F1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130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26C9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54CA5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62AC3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F3"/>
    <w:rsid w:val="005B4B4F"/>
    <w:rsid w:val="005C5494"/>
    <w:rsid w:val="005D1097"/>
    <w:rsid w:val="005E31A7"/>
    <w:rsid w:val="005E5698"/>
    <w:rsid w:val="005E734B"/>
    <w:rsid w:val="005F1466"/>
    <w:rsid w:val="006108F0"/>
    <w:rsid w:val="0061469F"/>
    <w:rsid w:val="006231C7"/>
    <w:rsid w:val="00635547"/>
    <w:rsid w:val="0063650D"/>
    <w:rsid w:val="006569A1"/>
    <w:rsid w:val="00663140"/>
    <w:rsid w:val="00666CE7"/>
    <w:rsid w:val="006672E3"/>
    <w:rsid w:val="00677C4A"/>
    <w:rsid w:val="006819CE"/>
    <w:rsid w:val="00683EC1"/>
    <w:rsid w:val="00687658"/>
    <w:rsid w:val="00694958"/>
    <w:rsid w:val="00696847"/>
    <w:rsid w:val="00697A9A"/>
    <w:rsid w:val="006A050B"/>
    <w:rsid w:val="006B7439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43EE"/>
    <w:rsid w:val="00794EF6"/>
    <w:rsid w:val="007951AD"/>
    <w:rsid w:val="00797CA4"/>
    <w:rsid w:val="007B273C"/>
    <w:rsid w:val="007B5447"/>
    <w:rsid w:val="007B617C"/>
    <w:rsid w:val="007B6739"/>
    <w:rsid w:val="007C1424"/>
    <w:rsid w:val="007E6D89"/>
    <w:rsid w:val="007E6FF5"/>
    <w:rsid w:val="007F1655"/>
    <w:rsid w:val="007F6D0F"/>
    <w:rsid w:val="008126F1"/>
    <w:rsid w:val="0081428F"/>
    <w:rsid w:val="00817BF1"/>
    <w:rsid w:val="008207C0"/>
    <w:rsid w:val="00822668"/>
    <w:rsid w:val="00823AF0"/>
    <w:rsid w:val="008241CE"/>
    <w:rsid w:val="00837734"/>
    <w:rsid w:val="00846543"/>
    <w:rsid w:val="00857379"/>
    <w:rsid w:val="008644B0"/>
    <w:rsid w:val="00881604"/>
    <w:rsid w:val="00887F4D"/>
    <w:rsid w:val="00891D3D"/>
    <w:rsid w:val="008931CA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E008D"/>
    <w:rsid w:val="009F54E4"/>
    <w:rsid w:val="009F69AF"/>
    <w:rsid w:val="00A039D5"/>
    <w:rsid w:val="00A0410C"/>
    <w:rsid w:val="00A21C66"/>
    <w:rsid w:val="00A2479A"/>
    <w:rsid w:val="00A3136B"/>
    <w:rsid w:val="00A45C1B"/>
    <w:rsid w:val="00A45D5B"/>
    <w:rsid w:val="00A47460"/>
    <w:rsid w:val="00A579FF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02F3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4F9F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E7EE4"/>
    <w:rsid w:val="00CF2B39"/>
    <w:rsid w:val="00D03AF5"/>
    <w:rsid w:val="00D06D18"/>
    <w:rsid w:val="00D1630C"/>
    <w:rsid w:val="00D31C15"/>
    <w:rsid w:val="00D41612"/>
    <w:rsid w:val="00D4281A"/>
    <w:rsid w:val="00D456F9"/>
    <w:rsid w:val="00D6759E"/>
    <w:rsid w:val="00D8561E"/>
    <w:rsid w:val="00D91794"/>
    <w:rsid w:val="00D9571F"/>
    <w:rsid w:val="00D95B0D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437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  <w:style w:type="paragraph" w:customStyle="1" w:styleId="31">
    <w:name w:val="Без интервала3"/>
    <w:rsid w:val="00562AC3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09503-4FAA-46BC-AB4B-80DA4A11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35</Pages>
  <Words>12218</Words>
  <Characters>69647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81702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PC</cp:lastModifiedBy>
  <cp:revision>12</cp:revision>
  <cp:lastPrinted>2022-10-04T05:15:00Z</cp:lastPrinted>
  <dcterms:created xsi:type="dcterms:W3CDTF">2024-01-10T04:52:00Z</dcterms:created>
  <dcterms:modified xsi:type="dcterms:W3CDTF">2024-09-10T06:15:00Z</dcterms:modified>
</cp:coreProperties>
</file>